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EE" w:rsidRDefault="008762EE">
      <w:pPr>
        <w:pStyle w:val="ConsPlusTitlePage"/>
      </w:pPr>
      <w:r>
        <w:t xml:space="preserve">Документ предоставлен </w:t>
      </w:r>
      <w:hyperlink r:id="rId4">
        <w:r>
          <w:rPr>
            <w:color w:val="0000FF"/>
          </w:rPr>
          <w:t>КонсультантПлюс</w:t>
        </w:r>
      </w:hyperlink>
      <w:r>
        <w:br/>
      </w:r>
    </w:p>
    <w:p w:rsidR="008762EE" w:rsidRDefault="008762EE">
      <w:pPr>
        <w:pStyle w:val="ConsPlusNormal"/>
        <w:jc w:val="both"/>
        <w:outlineLvl w:val="0"/>
      </w:pPr>
    </w:p>
    <w:p w:rsidR="008762EE" w:rsidRDefault="008762EE">
      <w:pPr>
        <w:pStyle w:val="ConsPlusTitle"/>
        <w:jc w:val="center"/>
        <w:outlineLvl w:val="0"/>
      </w:pPr>
      <w:r>
        <w:t>ПРАВИТЕЛЬСТВО КАРАЧАЕВО-ЧЕРКЕССКОЙ РЕСПУБЛИКИ</w:t>
      </w:r>
    </w:p>
    <w:p w:rsidR="008762EE" w:rsidRDefault="008762EE">
      <w:pPr>
        <w:pStyle w:val="ConsPlusTitle"/>
        <w:jc w:val="center"/>
      </w:pPr>
    </w:p>
    <w:p w:rsidR="008762EE" w:rsidRDefault="008762EE">
      <w:pPr>
        <w:pStyle w:val="ConsPlusTitle"/>
        <w:jc w:val="center"/>
      </w:pPr>
      <w:r>
        <w:t>ПОСТАНОВЛЕНИЕ</w:t>
      </w:r>
    </w:p>
    <w:p w:rsidR="008762EE" w:rsidRDefault="008762EE">
      <w:pPr>
        <w:pStyle w:val="ConsPlusTitle"/>
        <w:jc w:val="center"/>
      </w:pPr>
      <w:r>
        <w:t>от 12 июля 2016 г. N 179</w:t>
      </w:r>
    </w:p>
    <w:p w:rsidR="008762EE" w:rsidRDefault="008762EE">
      <w:pPr>
        <w:pStyle w:val="ConsPlusTitle"/>
        <w:jc w:val="center"/>
      </w:pPr>
    </w:p>
    <w:p w:rsidR="008762EE" w:rsidRDefault="008762EE">
      <w:pPr>
        <w:pStyle w:val="ConsPlusTitle"/>
        <w:jc w:val="center"/>
      </w:pPr>
      <w:r>
        <w:t>О ПОРЯДКЕ ИСЧИСЛЕНИЯ ПЛАТЫ ЗА ВЫЕЗД РАБОТНИКА</w:t>
      </w:r>
    </w:p>
    <w:p w:rsidR="008762EE" w:rsidRDefault="008762EE">
      <w:pPr>
        <w:pStyle w:val="ConsPlusTitle"/>
        <w:jc w:val="center"/>
      </w:pPr>
      <w:r>
        <w:t>МНОГОФУНКЦИОНАЛЬНОГО ЦЕНТРА ПРЕДОСТАВЛЕНИЯ</w:t>
      </w:r>
    </w:p>
    <w:p w:rsidR="008762EE" w:rsidRDefault="008762EE">
      <w:pPr>
        <w:pStyle w:val="ConsPlusTitle"/>
        <w:jc w:val="center"/>
      </w:pPr>
      <w:r>
        <w:t>ГОСУДАРСТВЕННЫХ И МУНИЦИПАЛЬНЫХ УСЛУГ К ЗАЯВИТЕЛЮ</w:t>
      </w:r>
    </w:p>
    <w:p w:rsidR="008762EE" w:rsidRDefault="008762EE">
      <w:pPr>
        <w:pStyle w:val="ConsPlusTitle"/>
        <w:jc w:val="center"/>
      </w:pPr>
      <w:r>
        <w:t>И ПЕРЕЧНЕ КАТЕГОРИЙ ГРАЖДАН, ДЛЯ КОТОРЫХ ОРГАНИЗАЦИЯ</w:t>
      </w:r>
    </w:p>
    <w:p w:rsidR="008762EE" w:rsidRDefault="008762EE">
      <w:pPr>
        <w:pStyle w:val="ConsPlusTitle"/>
        <w:jc w:val="center"/>
      </w:pPr>
      <w:r>
        <w:t>ВЫЕЗДА РАБОТНИКА МНОГОФУНКЦИОНАЛЬНОГО ЦЕНТРА</w:t>
      </w:r>
    </w:p>
    <w:p w:rsidR="008762EE" w:rsidRDefault="008762EE">
      <w:pPr>
        <w:pStyle w:val="ConsPlusTitle"/>
        <w:jc w:val="center"/>
      </w:pPr>
      <w:r>
        <w:t>ПРЕДОСТАВЛЕНИЯ ГОСУДАРСТВЕННЫХ И МУНИЦИПАЛЬНЫХ</w:t>
      </w:r>
    </w:p>
    <w:p w:rsidR="008762EE" w:rsidRDefault="008762EE">
      <w:pPr>
        <w:pStyle w:val="ConsPlusTitle"/>
        <w:jc w:val="center"/>
      </w:pPr>
      <w:r>
        <w:t>УСЛУГ ОСУЩЕСТВЛЯЕТСЯ БЕСПЛАТНО</w:t>
      </w:r>
    </w:p>
    <w:p w:rsidR="008762EE" w:rsidRDefault="008762EE">
      <w:pPr>
        <w:pStyle w:val="ConsPlusNormal"/>
        <w:jc w:val="both"/>
      </w:pPr>
    </w:p>
    <w:p w:rsidR="008762EE" w:rsidRDefault="008762EE">
      <w:pPr>
        <w:pStyle w:val="ConsPlusNormal"/>
        <w:ind w:firstLine="540"/>
        <w:jc w:val="both"/>
      </w:pPr>
      <w:r>
        <w:t xml:space="preserve">В соответствии с </w:t>
      </w:r>
      <w:hyperlink r:id="rId5">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Правительство Карачаево-Черкесской Республики постановляет:</w:t>
      </w:r>
    </w:p>
    <w:p w:rsidR="008762EE" w:rsidRDefault="008762EE">
      <w:pPr>
        <w:pStyle w:val="ConsPlusNormal"/>
        <w:spacing w:before="220"/>
        <w:ind w:firstLine="540"/>
        <w:jc w:val="both"/>
      </w:pPr>
      <w:r>
        <w:t xml:space="preserve">1. Утвердить </w:t>
      </w:r>
      <w:hyperlink w:anchor="P32">
        <w:r>
          <w:rPr>
            <w:color w:val="0000FF"/>
          </w:rPr>
          <w:t>Порядок</w:t>
        </w:r>
      </w:hyperlink>
      <w:r>
        <w:t xml:space="preserve"> исчисления платы за выезд работника многофункционального центра предоставления государственных и муниципальных услуг к заявителю согласно приложению 1.</w:t>
      </w:r>
    </w:p>
    <w:p w:rsidR="008762EE" w:rsidRDefault="008762EE">
      <w:pPr>
        <w:pStyle w:val="ConsPlusNormal"/>
        <w:spacing w:before="220"/>
        <w:ind w:firstLine="540"/>
        <w:jc w:val="both"/>
      </w:pPr>
      <w:r>
        <w:t xml:space="preserve">2. Утвердить </w:t>
      </w:r>
      <w:hyperlink w:anchor="P84">
        <w:r>
          <w:rPr>
            <w:color w:val="0000FF"/>
          </w:rPr>
          <w:t>Перечень</w:t>
        </w:r>
      </w:hyperlink>
      <w:r>
        <w:t xml:space="preserve">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согласно приложению 2.</w:t>
      </w:r>
    </w:p>
    <w:p w:rsidR="008762EE" w:rsidRDefault="008762EE">
      <w:pPr>
        <w:pStyle w:val="ConsPlusNormal"/>
        <w:spacing w:before="220"/>
        <w:ind w:firstLine="540"/>
        <w:jc w:val="both"/>
      </w:pPr>
      <w:r>
        <w:t>3. Контроль за выполнением настоящего постановления возложить на заместителя Председателя Правительства Карачаево-Черкесской Республики, курирующего финансово-экономические вопросы.</w:t>
      </w:r>
    </w:p>
    <w:p w:rsidR="008762EE" w:rsidRDefault="008762EE">
      <w:pPr>
        <w:pStyle w:val="ConsPlusNormal"/>
        <w:jc w:val="both"/>
      </w:pPr>
    </w:p>
    <w:p w:rsidR="008762EE" w:rsidRDefault="008762EE">
      <w:pPr>
        <w:pStyle w:val="ConsPlusNormal"/>
        <w:jc w:val="right"/>
      </w:pPr>
      <w:r>
        <w:t>Председатель Правительства</w:t>
      </w:r>
    </w:p>
    <w:p w:rsidR="008762EE" w:rsidRDefault="008762EE">
      <w:pPr>
        <w:pStyle w:val="ConsPlusNormal"/>
        <w:jc w:val="right"/>
      </w:pPr>
      <w:r>
        <w:t>Карачаево-Черкесской Республики</w:t>
      </w:r>
    </w:p>
    <w:p w:rsidR="008762EE" w:rsidRDefault="008762EE">
      <w:pPr>
        <w:pStyle w:val="ConsPlusNormal"/>
        <w:jc w:val="right"/>
      </w:pPr>
      <w:r>
        <w:t>Р.О.КАЗАНОКОВ</w:t>
      </w:r>
    </w:p>
    <w:p w:rsidR="008762EE" w:rsidRDefault="008762EE">
      <w:pPr>
        <w:pStyle w:val="ConsPlusNormal"/>
        <w:jc w:val="both"/>
      </w:pPr>
    </w:p>
    <w:p w:rsidR="008762EE" w:rsidRDefault="008762EE">
      <w:pPr>
        <w:pStyle w:val="ConsPlusNormal"/>
        <w:jc w:val="both"/>
      </w:pPr>
    </w:p>
    <w:p w:rsidR="008762EE" w:rsidRDefault="008762EE">
      <w:pPr>
        <w:pStyle w:val="ConsPlusNormal"/>
        <w:jc w:val="both"/>
      </w:pPr>
    </w:p>
    <w:p w:rsidR="008762EE" w:rsidRDefault="008762EE">
      <w:pPr>
        <w:pStyle w:val="ConsPlusNormal"/>
        <w:jc w:val="both"/>
      </w:pPr>
    </w:p>
    <w:p w:rsidR="008762EE" w:rsidRDefault="008762EE">
      <w:pPr>
        <w:pStyle w:val="ConsPlusNormal"/>
        <w:jc w:val="both"/>
      </w:pPr>
    </w:p>
    <w:p w:rsidR="008762EE" w:rsidRDefault="008762EE">
      <w:pPr>
        <w:pStyle w:val="ConsPlusNormal"/>
        <w:jc w:val="right"/>
        <w:outlineLvl w:val="0"/>
      </w:pPr>
      <w:r>
        <w:t>Приложение 1</w:t>
      </w:r>
    </w:p>
    <w:p w:rsidR="008762EE" w:rsidRDefault="008762EE">
      <w:pPr>
        <w:pStyle w:val="ConsPlusNormal"/>
        <w:jc w:val="right"/>
      </w:pPr>
      <w:r>
        <w:t>к постановлению Правительства</w:t>
      </w:r>
    </w:p>
    <w:p w:rsidR="008762EE" w:rsidRDefault="008762EE">
      <w:pPr>
        <w:pStyle w:val="ConsPlusNormal"/>
        <w:jc w:val="right"/>
      </w:pPr>
      <w:r>
        <w:t>Карачаево-Черкесской Республики</w:t>
      </w:r>
    </w:p>
    <w:p w:rsidR="008762EE" w:rsidRDefault="008762EE">
      <w:pPr>
        <w:pStyle w:val="ConsPlusNormal"/>
        <w:jc w:val="right"/>
      </w:pPr>
      <w:r>
        <w:t>от 12.07.2016 N 179</w:t>
      </w:r>
    </w:p>
    <w:p w:rsidR="008762EE" w:rsidRDefault="008762EE">
      <w:pPr>
        <w:pStyle w:val="ConsPlusNormal"/>
        <w:jc w:val="both"/>
      </w:pPr>
    </w:p>
    <w:p w:rsidR="008762EE" w:rsidRDefault="008762EE">
      <w:pPr>
        <w:pStyle w:val="ConsPlusTitle"/>
        <w:jc w:val="center"/>
      </w:pPr>
      <w:bookmarkStart w:id="0" w:name="P32"/>
      <w:bookmarkEnd w:id="0"/>
      <w:r>
        <w:t>ПОРЯДОК</w:t>
      </w:r>
    </w:p>
    <w:p w:rsidR="008762EE" w:rsidRDefault="008762EE">
      <w:pPr>
        <w:pStyle w:val="ConsPlusTitle"/>
        <w:jc w:val="center"/>
      </w:pPr>
      <w:r>
        <w:t>ИСЧИСЛЕНИЯ ПЛАТЫ ЗА ВЫЕЗД РАБОТНИКА МНОГОФУНКЦИОНАЛЬНОГО</w:t>
      </w:r>
    </w:p>
    <w:p w:rsidR="008762EE" w:rsidRDefault="008762EE">
      <w:pPr>
        <w:pStyle w:val="ConsPlusTitle"/>
        <w:jc w:val="center"/>
      </w:pPr>
      <w:r>
        <w:t>ЦЕНТРА ПРЕДОСТАВЛЕНИЯ ГОСУДАРСТВЕННЫХ</w:t>
      </w:r>
    </w:p>
    <w:p w:rsidR="008762EE" w:rsidRDefault="008762EE">
      <w:pPr>
        <w:pStyle w:val="ConsPlusTitle"/>
        <w:jc w:val="center"/>
      </w:pPr>
      <w:r>
        <w:t>И МУНИЦИПАЛЬНЫХ УСЛУГ К ЗАЯВИТЕЛЮ</w:t>
      </w:r>
    </w:p>
    <w:p w:rsidR="008762EE" w:rsidRDefault="008762EE">
      <w:pPr>
        <w:pStyle w:val="ConsPlusNormal"/>
        <w:jc w:val="both"/>
      </w:pPr>
    </w:p>
    <w:p w:rsidR="008762EE" w:rsidRDefault="008762EE">
      <w:pPr>
        <w:pStyle w:val="ConsPlusNormal"/>
        <w:ind w:firstLine="540"/>
        <w:jc w:val="both"/>
      </w:pPr>
      <w:r>
        <w:t>1. Настоящий Порядок разработан в целях установления единой методики формирования цены на услуги по выезду работника многофункционального центра предоставления государственных и муниципальных услуг (далее - МФЦ) к заявителю (далее - услуга).</w:t>
      </w:r>
    </w:p>
    <w:p w:rsidR="008762EE" w:rsidRDefault="008762EE">
      <w:pPr>
        <w:pStyle w:val="ConsPlusNormal"/>
        <w:spacing w:before="220"/>
        <w:ind w:firstLine="540"/>
        <w:jc w:val="both"/>
      </w:pPr>
      <w:r>
        <w:t xml:space="preserve">2. Порядок подлежит применению республиканским государственным бюджетным </w:t>
      </w:r>
      <w:r>
        <w:lastRenderedPageBreak/>
        <w:t>учреждением "Уполномоченный Многофункциональный центр предоставления государственных и муниципальных услуг - Центр информационных технологий Карачаево-Черкесской Республики" (далее - РГБУ "УМФЦ-ЦИТ КЧР") и многофункциональными центрами предоставления государственных и муниципальных услуг Карачаево-Черкесской Республики при осуществлении по запросу заявителя выезда работника МФЦ к заявителю для приема заявлений и документов, необходимых для предоставления государственных и муниципальных услуг, а также для доставки результатов предоставления государственных и муниципальных услуг.</w:t>
      </w:r>
    </w:p>
    <w:p w:rsidR="008762EE" w:rsidRDefault="008762EE">
      <w:pPr>
        <w:pStyle w:val="ConsPlusNormal"/>
        <w:spacing w:before="220"/>
        <w:ind w:firstLine="540"/>
        <w:jc w:val="both"/>
      </w:pPr>
      <w:r>
        <w:t xml:space="preserve">3. Под заявителем в Порядке понимается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органов местного самоуправления) либо их уполномоченные представители, обратившиеся в МФЦ 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с запросом о предоставлении услуги, выраженным в устной, письменной или электронной форме.</w:t>
      </w:r>
    </w:p>
    <w:p w:rsidR="008762EE" w:rsidRDefault="008762EE">
      <w:pPr>
        <w:pStyle w:val="ConsPlusNormal"/>
        <w:spacing w:before="220"/>
        <w:ind w:firstLine="540"/>
        <w:jc w:val="both"/>
      </w:pPr>
      <w:r>
        <w:t>4. Размер платы за предоставление услуги определяется на основе расчета экономически обоснованных затрат материальных и трудовых ресурсов на ее оказание и нормы прибыли (рентабельности) по формуле:</w:t>
      </w:r>
    </w:p>
    <w:p w:rsidR="008762EE" w:rsidRDefault="008762EE">
      <w:pPr>
        <w:pStyle w:val="ConsPlusNormal"/>
        <w:jc w:val="both"/>
      </w:pPr>
    </w:p>
    <w:p w:rsidR="008762EE" w:rsidRDefault="008762EE">
      <w:pPr>
        <w:pStyle w:val="ConsPlusNormal"/>
        <w:jc w:val="center"/>
      </w:pPr>
      <w:r>
        <w:rPr>
          <w:noProof/>
          <w:position w:val="-6"/>
        </w:rPr>
        <w:drawing>
          <wp:inline distT="0" distB="0" distL="0" distR="0">
            <wp:extent cx="2095500"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219075"/>
                    </a:xfrm>
                    <a:prstGeom prst="rect">
                      <a:avLst/>
                    </a:prstGeom>
                    <a:noFill/>
                    <a:ln>
                      <a:noFill/>
                    </a:ln>
                  </pic:spPr>
                </pic:pic>
              </a:graphicData>
            </a:graphic>
          </wp:inline>
        </w:drawing>
      </w:r>
      <w:r>
        <w:t xml:space="preserve"> где:</w:t>
      </w:r>
    </w:p>
    <w:p w:rsidR="008762EE" w:rsidRDefault="008762EE">
      <w:pPr>
        <w:pStyle w:val="ConsPlusNormal"/>
        <w:jc w:val="both"/>
      </w:pPr>
    </w:p>
    <w:p w:rsidR="008762EE" w:rsidRDefault="008762EE">
      <w:pPr>
        <w:pStyle w:val="ConsPlusNormal"/>
        <w:ind w:firstLine="540"/>
        <w:jc w:val="both"/>
      </w:pPr>
      <w:r>
        <w:rPr>
          <w:noProof/>
          <w:position w:val="-6"/>
        </w:rPr>
        <w:drawing>
          <wp:inline distT="0" distB="0" distL="0" distR="0">
            <wp:extent cx="199390" cy="2209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 cy="220980"/>
                    </a:xfrm>
                    <a:prstGeom prst="rect">
                      <a:avLst/>
                    </a:prstGeom>
                    <a:noFill/>
                    <a:ln>
                      <a:noFill/>
                    </a:ln>
                  </pic:spPr>
                </pic:pic>
              </a:graphicData>
            </a:graphic>
          </wp:inline>
        </w:drawing>
      </w:r>
      <w:r>
        <w:t xml:space="preserve"> - стоимость услуги;</w:t>
      </w:r>
    </w:p>
    <w:p w:rsidR="008762EE" w:rsidRDefault="008762EE">
      <w:pPr>
        <w:pStyle w:val="ConsPlusNormal"/>
        <w:spacing w:before="220"/>
        <w:ind w:firstLine="540"/>
        <w:jc w:val="both"/>
      </w:pPr>
      <w:r>
        <w:rPr>
          <w:noProof/>
          <w:position w:val="-6"/>
        </w:rPr>
        <w:drawing>
          <wp:inline distT="0" distB="0" distL="0" distR="0">
            <wp:extent cx="304165" cy="2190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165" cy="219075"/>
                    </a:xfrm>
                    <a:prstGeom prst="rect">
                      <a:avLst/>
                    </a:prstGeom>
                    <a:noFill/>
                    <a:ln>
                      <a:noFill/>
                    </a:ln>
                  </pic:spPr>
                </pic:pic>
              </a:graphicData>
            </a:graphic>
          </wp:inline>
        </w:drawing>
      </w:r>
      <w:r>
        <w:t xml:space="preserve"> - прямые затраты, связанные со временем оказания услуги;</w:t>
      </w:r>
    </w:p>
    <w:p w:rsidR="008762EE" w:rsidRDefault="008762EE">
      <w:pPr>
        <w:pStyle w:val="ConsPlusNormal"/>
        <w:spacing w:before="220"/>
        <w:ind w:firstLine="540"/>
        <w:jc w:val="both"/>
      </w:pPr>
      <w:r>
        <w:t>Звр рассчитывается по формуле:</w:t>
      </w:r>
    </w:p>
    <w:p w:rsidR="008762EE" w:rsidRDefault="008762EE">
      <w:pPr>
        <w:pStyle w:val="ConsPlusNormal"/>
        <w:jc w:val="both"/>
      </w:pPr>
    </w:p>
    <w:p w:rsidR="008762EE" w:rsidRDefault="008762EE">
      <w:pPr>
        <w:pStyle w:val="ConsPlusNormal"/>
        <w:jc w:val="center"/>
      </w:pPr>
      <w:r>
        <w:rPr>
          <w:noProof/>
          <w:position w:val="-6"/>
        </w:rPr>
        <w:drawing>
          <wp:inline distT="0" distB="0" distL="0" distR="0">
            <wp:extent cx="1424940" cy="219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940" cy="219075"/>
                    </a:xfrm>
                    <a:prstGeom prst="rect">
                      <a:avLst/>
                    </a:prstGeom>
                    <a:noFill/>
                    <a:ln>
                      <a:noFill/>
                    </a:ln>
                  </pic:spPr>
                </pic:pic>
              </a:graphicData>
            </a:graphic>
          </wp:inline>
        </w:drawing>
      </w:r>
      <w:r>
        <w:t>, где:</w:t>
      </w:r>
    </w:p>
    <w:p w:rsidR="008762EE" w:rsidRDefault="008762EE">
      <w:pPr>
        <w:pStyle w:val="ConsPlusNormal"/>
        <w:jc w:val="both"/>
      </w:pPr>
    </w:p>
    <w:p w:rsidR="008762EE" w:rsidRDefault="008762EE">
      <w:pPr>
        <w:pStyle w:val="ConsPlusNormal"/>
        <w:ind w:firstLine="540"/>
        <w:jc w:val="both"/>
      </w:pPr>
      <w:r>
        <w:rPr>
          <w:noProof/>
          <w:position w:val="-4"/>
        </w:rPr>
        <w:drawing>
          <wp:inline distT="0" distB="0" distL="0" distR="0">
            <wp:extent cx="408940" cy="1993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xml:space="preserve"> - среднечасовая оплата труда специалиста МФЦ и водителя МФЦ, непосредственно участвующих в предоставлении услуги. Расчет расходов на плату труда осуществляется с учетом должностного оклада, выплат компенсационного и стимулирующего характера;</w:t>
      </w:r>
    </w:p>
    <w:p w:rsidR="008762EE" w:rsidRDefault="008762EE">
      <w:pPr>
        <w:pStyle w:val="ConsPlusNormal"/>
        <w:spacing w:before="220"/>
        <w:ind w:firstLine="540"/>
        <w:jc w:val="both"/>
      </w:pPr>
      <w:r>
        <w:rPr>
          <w:noProof/>
          <w:position w:val="-3"/>
        </w:rPr>
        <w:drawing>
          <wp:inline distT="0" distB="0" distL="0" distR="0">
            <wp:extent cx="199390" cy="1778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177800"/>
                    </a:xfrm>
                    <a:prstGeom prst="rect">
                      <a:avLst/>
                    </a:prstGeom>
                    <a:noFill/>
                    <a:ln>
                      <a:noFill/>
                    </a:ln>
                  </pic:spPr>
                </pic:pic>
              </a:graphicData>
            </a:graphic>
          </wp:inline>
        </w:drawing>
      </w:r>
      <w:r>
        <w:t xml:space="preserve"> - начисления на оплату труда, объем которых определяется в соответствии с законодательством Российской Федерации;</w:t>
      </w:r>
    </w:p>
    <w:p w:rsidR="008762EE" w:rsidRDefault="008762EE">
      <w:pPr>
        <w:pStyle w:val="ConsPlusNormal"/>
        <w:spacing w:before="220"/>
        <w:ind w:firstLine="540"/>
        <w:jc w:val="both"/>
      </w:pPr>
      <w:r>
        <w:rPr>
          <w:noProof/>
          <w:position w:val="-3"/>
        </w:rPr>
        <w:drawing>
          <wp:inline distT="0" distB="0" distL="0" distR="0">
            <wp:extent cx="167640" cy="1778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 cy="177800"/>
                    </a:xfrm>
                    <a:prstGeom prst="rect">
                      <a:avLst/>
                    </a:prstGeom>
                    <a:noFill/>
                    <a:ln>
                      <a:noFill/>
                    </a:ln>
                  </pic:spPr>
                </pic:pic>
              </a:graphicData>
            </a:graphic>
          </wp:inline>
        </w:drawing>
      </w:r>
      <w:r>
        <w:t xml:space="preserve"> - амортизация оборудования (транспортного средства, персонального компьютера, многофункционального устройства), непосредственно связанного с предоставлением услуги исходя из его эксплуатации в течение одного часа;</w:t>
      </w:r>
    </w:p>
    <w:p w:rsidR="008762EE" w:rsidRDefault="008762EE">
      <w:pPr>
        <w:pStyle w:val="ConsPlusNormal"/>
        <w:spacing w:before="220"/>
        <w:ind w:firstLine="540"/>
        <w:jc w:val="both"/>
      </w:pPr>
      <w:r>
        <w:rPr>
          <w:noProof/>
          <w:position w:val="-3"/>
        </w:rPr>
        <w:drawing>
          <wp:inline distT="0" distB="0" distL="0" distR="0">
            <wp:extent cx="156845" cy="1778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77800"/>
                    </a:xfrm>
                    <a:prstGeom prst="rect">
                      <a:avLst/>
                    </a:prstGeom>
                    <a:noFill/>
                    <a:ln>
                      <a:noFill/>
                    </a:ln>
                  </pic:spPr>
                </pic:pic>
              </a:graphicData>
            </a:graphic>
          </wp:inline>
        </w:drawing>
      </w:r>
      <w:r>
        <w:t xml:space="preserve"> - время оказания услуги, час. Рассчитывается исходя из времени работы с заявителем и времени нахождения в пути;</w:t>
      </w:r>
    </w:p>
    <w:p w:rsidR="008762EE" w:rsidRDefault="008762EE">
      <w:pPr>
        <w:pStyle w:val="ConsPlusNormal"/>
        <w:spacing w:before="220"/>
        <w:ind w:firstLine="540"/>
        <w:jc w:val="both"/>
      </w:pPr>
      <w:r>
        <w:rPr>
          <w:noProof/>
          <w:position w:val="-4"/>
        </w:rPr>
        <w:drawing>
          <wp:inline distT="0" distB="0" distL="0" distR="0">
            <wp:extent cx="262890" cy="1993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 cy="199390"/>
                    </a:xfrm>
                    <a:prstGeom prst="rect">
                      <a:avLst/>
                    </a:prstGeom>
                    <a:noFill/>
                    <a:ln>
                      <a:noFill/>
                    </a:ln>
                  </pic:spPr>
                </pic:pic>
              </a:graphicData>
            </a:graphic>
          </wp:inline>
        </w:drawing>
      </w:r>
      <w:r>
        <w:t xml:space="preserve"> - материальные затраты (горюче-смазочные материалы, канцелярские расходы, материалы для ремонта и обслуживания техники), потребляемые непосредственно в процессе предоставления услуги и не являющиеся амортизируемым имуществом, рублей;</w:t>
      </w:r>
    </w:p>
    <w:p w:rsidR="008762EE" w:rsidRDefault="008762EE">
      <w:pPr>
        <w:pStyle w:val="ConsPlusNormal"/>
        <w:spacing w:before="220"/>
        <w:ind w:firstLine="540"/>
        <w:jc w:val="both"/>
      </w:pPr>
      <w:r>
        <w:rPr>
          <w:noProof/>
          <w:position w:val="-4"/>
        </w:rPr>
        <w:drawing>
          <wp:inline distT="0" distB="0" distL="0" distR="0">
            <wp:extent cx="469265" cy="1993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265" cy="199390"/>
                    </a:xfrm>
                    <a:prstGeom prst="rect">
                      <a:avLst/>
                    </a:prstGeom>
                    <a:noFill/>
                    <a:ln>
                      <a:noFill/>
                    </a:ln>
                  </pic:spPr>
                </pic:pic>
              </a:graphicData>
            </a:graphic>
          </wp:inline>
        </w:drawing>
      </w:r>
      <w:r>
        <w:t xml:space="preserve"> - косвенные расходы.</w:t>
      </w:r>
    </w:p>
    <w:p w:rsidR="008762EE" w:rsidRDefault="008762EE">
      <w:pPr>
        <w:pStyle w:val="ConsPlusNormal"/>
        <w:spacing w:before="220"/>
        <w:ind w:firstLine="540"/>
        <w:jc w:val="both"/>
      </w:pPr>
      <w:r>
        <w:t>К косвенным расходам относятся затраты, необходимые для обеспечения деятельности учреждения, но не потребляемые непосредственно в процессе предоставления услуги.</w:t>
      </w:r>
    </w:p>
    <w:p w:rsidR="008762EE" w:rsidRDefault="008762EE">
      <w:pPr>
        <w:pStyle w:val="ConsPlusNormal"/>
        <w:spacing w:before="220"/>
        <w:ind w:firstLine="540"/>
        <w:jc w:val="both"/>
      </w:pPr>
      <w:r>
        <w:t>Косвенные расходы рассчитываются по формуле:</w:t>
      </w:r>
    </w:p>
    <w:p w:rsidR="008762EE" w:rsidRDefault="008762EE">
      <w:pPr>
        <w:pStyle w:val="ConsPlusNormal"/>
        <w:jc w:val="both"/>
      </w:pPr>
    </w:p>
    <w:p w:rsidR="008762EE" w:rsidRDefault="008762EE">
      <w:pPr>
        <w:pStyle w:val="ConsPlusNormal"/>
        <w:jc w:val="center"/>
      </w:pPr>
      <w:r>
        <w:rPr>
          <w:noProof/>
          <w:position w:val="-8"/>
        </w:rPr>
        <w:drawing>
          <wp:inline distT="0" distB="0" distL="0" distR="0">
            <wp:extent cx="1633855" cy="24193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3855" cy="241935"/>
                    </a:xfrm>
                    <a:prstGeom prst="rect">
                      <a:avLst/>
                    </a:prstGeom>
                    <a:noFill/>
                    <a:ln>
                      <a:noFill/>
                    </a:ln>
                  </pic:spPr>
                </pic:pic>
              </a:graphicData>
            </a:graphic>
          </wp:inline>
        </w:drawing>
      </w:r>
      <w:r>
        <w:t>, где:</w:t>
      </w:r>
    </w:p>
    <w:p w:rsidR="008762EE" w:rsidRDefault="008762EE">
      <w:pPr>
        <w:pStyle w:val="ConsPlusNormal"/>
        <w:jc w:val="both"/>
      </w:pPr>
    </w:p>
    <w:p w:rsidR="008762EE" w:rsidRDefault="008762EE">
      <w:pPr>
        <w:pStyle w:val="ConsPlusNormal"/>
        <w:ind w:firstLine="540"/>
        <w:jc w:val="both"/>
      </w:pPr>
      <w:r>
        <w:rPr>
          <w:noProof/>
          <w:position w:val="-3"/>
        </w:rPr>
        <w:drawing>
          <wp:inline distT="0" distB="0" distL="0" distR="0">
            <wp:extent cx="177800" cy="1778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 коэффициент косвенных расходов, который рассчитывается в соответствии с планом работы на текущий финансовый год по формуле:</w:t>
      </w:r>
    </w:p>
    <w:p w:rsidR="008762EE" w:rsidRDefault="008762EE">
      <w:pPr>
        <w:pStyle w:val="ConsPlusNormal"/>
        <w:jc w:val="both"/>
      </w:pPr>
    </w:p>
    <w:p w:rsidR="008762EE" w:rsidRDefault="008762EE">
      <w:pPr>
        <w:pStyle w:val="ConsPlusNormal"/>
        <w:jc w:val="center"/>
      </w:pPr>
      <w:r>
        <w:rPr>
          <w:noProof/>
          <w:position w:val="-8"/>
        </w:rPr>
        <w:drawing>
          <wp:inline distT="0" distB="0" distL="0" distR="0">
            <wp:extent cx="1787525" cy="24193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7525" cy="241935"/>
                    </a:xfrm>
                    <a:prstGeom prst="rect">
                      <a:avLst/>
                    </a:prstGeom>
                    <a:noFill/>
                    <a:ln>
                      <a:noFill/>
                    </a:ln>
                  </pic:spPr>
                </pic:pic>
              </a:graphicData>
            </a:graphic>
          </wp:inline>
        </w:drawing>
      </w:r>
      <w:r>
        <w:t>, где:</w:t>
      </w:r>
    </w:p>
    <w:p w:rsidR="008762EE" w:rsidRDefault="008762EE">
      <w:pPr>
        <w:pStyle w:val="ConsPlusNormal"/>
        <w:jc w:val="both"/>
      </w:pPr>
    </w:p>
    <w:p w:rsidR="008762EE" w:rsidRDefault="008762EE">
      <w:pPr>
        <w:pStyle w:val="ConsPlusNormal"/>
        <w:ind w:firstLine="540"/>
        <w:jc w:val="both"/>
      </w:pPr>
      <w:r>
        <w:rPr>
          <w:noProof/>
          <w:position w:val="-6"/>
        </w:rPr>
        <w:drawing>
          <wp:inline distT="0" distB="0" distL="0" distR="0">
            <wp:extent cx="293370" cy="2209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370" cy="220980"/>
                    </a:xfrm>
                    <a:prstGeom prst="rect">
                      <a:avLst/>
                    </a:prstGeom>
                    <a:noFill/>
                    <a:ln>
                      <a:noFill/>
                    </a:ln>
                  </pic:spPr>
                </pic:pic>
              </a:graphicData>
            </a:graphic>
          </wp:inline>
        </w:drawing>
      </w:r>
      <w:r>
        <w:t xml:space="preserve"> - затраты на оплату труда работников МФЦ, не принимающих непосредственного участия в оказании услуги (административно-управленческий, административно-хозяйственный, вспомогательный и иной персонал);</w:t>
      </w:r>
    </w:p>
    <w:p w:rsidR="008762EE" w:rsidRDefault="008762EE">
      <w:pPr>
        <w:pStyle w:val="ConsPlusNormal"/>
        <w:spacing w:before="220"/>
        <w:ind w:firstLine="540"/>
        <w:jc w:val="both"/>
      </w:pPr>
      <w:r>
        <w:rPr>
          <w:noProof/>
          <w:position w:val="-6"/>
        </w:rPr>
        <w:drawing>
          <wp:inline distT="0" distB="0" distL="0" distR="0">
            <wp:extent cx="335280" cy="2209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t xml:space="preserve"> - начисления на оплату труда работников МФЦ, не принимающих непосредственного участия в оказании услуги (административно-управленческий, административно-хозяйственный, вспомогательный и иной персонал);</w:t>
      </w:r>
    </w:p>
    <w:p w:rsidR="008762EE" w:rsidRDefault="008762EE">
      <w:pPr>
        <w:pStyle w:val="ConsPlusNormal"/>
        <w:spacing w:before="220"/>
        <w:ind w:firstLine="540"/>
        <w:jc w:val="both"/>
      </w:pPr>
      <w:r>
        <w:rPr>
          <w:noProof/>
          <w:position w:val="-4"/>
        </w:rPr>
        <w:drawing>
          <wp:inline distT="0" distB="0" distL="0" distR="0">
            <wp:extent cx="241935" cy="1993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935" cy="199390"/>
                    </a:xfrm>
                    <a:prstGeom prst="rect">
                      <a:avLst/>
                    </a:prstGeom>
                    <a:noFill/>
                    <a:ln>
                      <a:noFill/>
                    </a:ln>
                  </pic:spPr>
                </pic:pic>
              </a:graphicData>
            </a:graphic>
          </wp:inline>
        </w:drawing>
      </w:r>
      <w:r>
        <w:t xml:space="preserve"> - хозяйственные расходы. В число хозяйственных расходов входят расходы на коммунальные услуги, услуги связи, услуги по охране, транспортные услуги, расходы на содержание объектов недвижимого имущества, закрепленного за МФЦ на праве оперативного управления или приобретенного за счет средств, выделенных МФЦ учредителем на приобретение такого имущества, а также недвижимого имущества, находящегося у МФЦ на основании договора аренды или безвозмездного пользования, эксплуатируемого в процессе оказания услуг, расходы на содержание объектов особо ценного движимого имущества, закрепленного за МФЦ или приобретенного за счет средств, выделенных МФЦ учредителем на приобретение такого имущества;</w:t>
      </w:r>
    </w:p>
    <w:p w:rsidR="008762EE" w:rsidRDefault="008762EE">
      <w:pPr>
        <w:pStyle w:val="ConsPlusNormal"/>
        <w:spacing w:before="220"/>
        <w:ind w:firstLine="540"/>
        <w:jc w:val="both"/>
      </w:pPr>
      <w:r>
        <w:rPr>
          <w:noProof/>
          <w:position w:val="-6"/>
        </w:rPr>
        <w:drawing>
          <wp:inline distT="0" distB="0" distL="0" distR="0">
            <wp:extent cx="262890" cy="2190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890" cy="219075"/>
                    </a:xfrm>
                    <a:prstGeom prst="rect">
                      <a:avLst/>
                    </a:prstGeom>
                    <a:noFill/>
                    <a:ln>
                      <a:noFill/>
                    </a:ln>
                  </pic:spPr>
                </pic:pic>
              </a:graphicData>
            </a:graphic>
          </wp:inline>
        </w:drawing>
      </w:r>
      <w:r>
        <w:t xml:space="preserve"> - плановые расходы на оплату труда работников МФЦ, непосредственно участвующих в предоставлении услуги, на текущий финансовый год;</w:t>
      </w:r>
    </w:p>
    <w:p w:rsidR="008762EE" w:rsidRDefault="008762EE">
      <w:pPr>
        <w:pStyle w:val="ConsPlusNormal"/>
        <w:spacing w:before="220"/>
        <w:ind w:firstLine="540"/>
        <w:jc w:val="both"/>
      </w:pPr>
      <w:r>
        <w:rPr>
          <w:noProof/>
          <w:position w:val="-3"/>
        </w:rPr>
        <w:drawing>
          <wp:inline distT="0" distB="0" distL="0" distR="0">
            <wp:extent cx="167640" cy="1778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640" cy="177800"/>
                    </a:xfrm>
                    <a:prstGeom prst="rect">
                      <a:avLst/>
                    </a:prstGeom>
                    <a:noFill/>
                    <a:ln>
                      <a:noFill/>
                    </a:ln>
                  </pic:spPr>
                </pic:pic>
              </a:graphicData>
            </a:graphic>
          </wp:inline>
        </w:drawing>
      </w:r>
      <w:r>
        <w:t xml:space="preserve"> - рентабельность предоставления услуги.</w:t>
      </w:r>
    </w:p>
    <w:p w:rsidR="008762EE" w:rsidRDefault="008762EE">
      <w:pPr>
        <w:pStyle w:val="ConsPlusNormal"/>
        <w:spacing w:before="220"/>
        <w:ind w:firstLine="540"/>
        <w:jc w:val="both"/>
      </w:pPr>
      <w:r>
        <w:t>Рентабельность предоставления услуги устанавливается приказом руководителя МФЦ по согласованию с отраслевым органом исполнительной власти Карачаево-Черкесской Республики, осуществляющим функции и полномочия учредителя МФЦ, либо органом местного самоуправления Карачаево-Черкесской Республики, осуществляющего функции и полномочия учредителя МФЦ и не может превышать 25 процентов от себестоимости услуги.</w:t>
      </w:r>
    </w:p>
    <w:p w:rsidR="008762EE" w:rsidRDefault="008762EE">
      <w:pPr>
        <w:pStyle w:val="ConsPlusNormal"/>
        <w:spacing w:before="220"/>
        <w:ind w:firstLine="540"/>
        <w:jc w:val="both"/>
      </w:pPr>
      <w:r>
        <w:t>5. Размер платы за предоставление услуг устанавливается приказом руководителя МФЦ по согласованию с отраслевым органом исполнительной власти Карачаево-Черкесской Республики, осуществляющим функции и полномочия учредителя МФЦ, либо органом местного самоуправления Карачаево-Черкесской Республики, осуществляющего функции и полномочия учредителя МФЦ.</w:t>
      </w:r>
    </w:p>
    <w:p w:rsidR="008762EE" w:rsidRDefault="008762EE">
      <w:pPr>
        <w:pStyle w:val="ConsPlusNormal"/>
        <w:spacing w:before="220"/>
        <w:ind w:firstLine="540"/>
        <w:jc w:val="both"/>
      </w:pPr>
      <w:r>
        <w:t>6. Пересмотр размера платы за предоставление услуг на очередной финансовый год осуществляется ежегодно, не позднее 1 сентября текущего года.</w:t>
      </w:r>
    </w:p>
    <w:p w:rsidR="008762EE" w:rsidRDefault="008762EE">
      <w:pPr>
        <w:pStyle w:val="ConsPlusNormal"/>
        <w:spacing w:before="220"/>
        <w:ind w:firstLine="540"/>
        <w:jc w:val="both"/>
      </w:pPr>
      <w:r>
        <w:t>7. Прейскурант цен по предоставлению платных услуг подлежит размещению на официальных сайтах МФЦ и официальных сайтах уполномоченных органов исполнительной власти Карачаево-Черкесской Республики, осуществляющих функции учредителей МФЦ, в информационно-телекоммуникационной сети Интернет.</w:t>
      </w:r>
    </w:p>
    <w:p w:rsidR="008762EE" w:rsidRDefault="008762EE">
      <w:pPr>
        <w:pStyle w:val="ConsPlusNormal"/>
        <w:jc w:val="both"/>
      </w:pPr>
    </w:p>
    <w:p w:rsidR="008762EE" w:rsidRDefault="008762EE">
      <w:pPr>
        <w:pStyle w:val="ConsPlusNormal"/>
        <w:jc w:val="both"/>
      </w:pPr>
    </w:p>
    <w:p w:rsidR="008762EE" w:rsidRDefault="008762EE">
      <w:pPr>
        <w:pStyle w:val="ConsPlusNormal"/>
        <w:jc w:val="both"/>
      </w:pPr>
    </w:p>
    <w:p w:rsidR="008762EE" w:rsidRDefault="008762EE">
      <w:pPr>
        <w:pStyle w:val="ConsPlusNormal"/>
        <w:jc w:val="both"/>
      </w:pPr>
    </w:p>
    <w:p w:rsidR="008762EE" w:rsidRDefault="008762EE">
      <w:pPr>
        <w:pStyle w:val="ConsPlusNormal"/>
        <w:jc w:val="both"/>
      </w:pPr>
    </w:p>
    <w:p w:rsidR="008762EE" w:rsidRDefault="008762EE">
      <w:pPr>
        <w:pStyle w:val="ConsPlusNormal"/>
        <w:jc w:val="right"/>
        <w:outlineLvl w:val="0"/>
      </w:pPr>
      <w:r>
        <w:t>Приложение 2</w:t>
      </w:r>
    </w:p>
    <w:p w:rsidR="008762EE" w:rsidRDefault="008762EE">
      <w:pPr>
        <w:pStyle w:val="ConsPlusNormal"/>
        <w:jc w:val="right"/>
      </w:pPr>
      <w:r>
        <w:t>к постановлению Правительства</w:t>
      </w:r>
    </w:p>
    <w:p w:rsidR="008762EE" w:rsidRDefault="008762EE">
      <w:pPr>
        <w:pStyle w:val="ConsPlusNormal"/>
        <w:jc w:val="right"/>
      </w:pPr>
      <w:r>
        <w:t>Карачаево-Черкесской Республики</w:t>
      </w:r>
    </w:p>
    <w:p w:rsidR="008762EE" w:rsidRDefault="008762EE">
      <w:pPr>
        <w:pStyle w:val="ConsPlusNormal"/>
        <w:jc w:val="right"/>
      </w:pPr>
      <w:r>
        <w:t>от 12.07.2016 N 179</w:t>
      </w:r>
    </w:p>
    <w:p w:rsidR="008762EE" w:rsidRDefault="008762EE">
      <w:pPr>
        <w:pStyle w:val="ConsPlusNormal"/>
        <w:jc w:val="both"/>
      </w:pPr>
    </w:p>
    <w:p w:rsidR="008762EE" w:rsidRDefault="008762EE">
      <w:pPr>
        <w:pStyle w:val="ConsPlusTitle"/>
        <w:jc w:val="center"/>
      </w:pPr>
      <w:bookmarkStart w:id="1" w:name="P84"/>
      <w:bookmarkEnd w:id="1"/>
      <w:r>
        <w:t>ПЕРЕЧЕНЬ</w:t>
      </w:r>
    </w:p>
    <w:p w:rsidR="008762EE" w:rsidRDefault="008762EE">
      <w:pPr>
        <w:pStyle w:val="ConsPlusTitle"/>
        <w:jc w:val="center"/>
      </w:pPr>
      <w:r>
        <w:t>КАТЕГОРИЙ ГРАЖДАН, ДЛЯ КОТОРЫХ ОРГАНИЗАЦИЯ ВЫЕЗДА РАБОТНИКА</w:t>
      </w:r>
    </w:p>
    <w:p w:rsidR="008762EE" w:rsidRDefault="008762EE">
      <w:pPr>
        <w:pStyle w:val="ConsPlusTitle"/>
        <w:jc w:val="center"/>
      </w:pPr>
      <w:r>
        <w:t>МНОГОФУНКЦИОНАЛЬНОГО ЦЕНТРА ПРЕДОСТАВЛЕНИЯ ГОСУДАРСТВЕННЫХ</w:t>
      </w:r>
    </w:p>
    <w:p w:rsidR="008762EE" w:rsidRDefault="008762EE">
      <w:pPr>
        <w:pStyle w:val="ConsPlusTitle"/>
        <w:jc w:val="center"/>
      </w:pPr>
      <w:r>
        <w:t>И МУНИЦИПАЛЬНЫХ УСЛУГ ОСУЩЕСТВЛЯЕТСЯ БЕСПЛАТНО</w:t>
      </w:r>
    </w:p>
    <w:p w:rsidR="008762EE" w:rsidRDefault="00876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8753"/>
      </w:tblGrid>
      <w:tr w:rsidR="008762EE">
        <w:tc>
          <w:tcPr>
            <w:tcW w:w="534" w:type="dxa"/>
          </w:tcPr>
          <w:p w:rsidR="008762EE" w:rsidRDefault="008762EE">
            <w:pPr>
              <w:pStyle w:val="ConsPlusNormal"/>
            </w:pPr>
            <w:r>
              <w:t>1.</w:t>
            </w:r>
          </w:p>
        </w:tc>
        <w:tc>
          <w:tcPr>
            <w:tcW w:w="8753" w:type="dxa"/>
          </w:tcPr>
          <w:p w:rsidR="008762EE" w:rsidRDefault="008762EE">
            <w:pPr>
              <w:pStyle w:val="ConsPlusNormal"/>
            </w:pPr>
            <w:r>
              <w:t>Инвалиды I и II групп.</w:t>
            </w:r>
          </w:p>
        </w:tc>
      </w:tr>
      <w:tr w:rsidR="008762EE">
        <w:tc>
          <w:tcPr>
            <w:tcW w:w="534" w:type="dxa"/>
          </w:tcPr>
          <w:p w:rsidR="008762EE" w:rsidRDefault="008762EE">
            <w:pPr>
              <w:pStyle w:val="ConsPlusNormal"/>
            </w:pPr>
            <w:r>
              <w:t>2.</w:t>
            </w:r>
          </w:p>
        </w:tc>
        <w:tc>
          <w:tcPr>
            <w:tcW w:w="8753" w:type="dxa"/>
          </w:tcPr>
          <w:p w:rsidR="008762EE" w:rsidRDefault="008762EE">
            <w:pPr>
              <w:pStyle w:val="ConsPlusNormal"/>
            </w:pPr>
            <w:r>
              <w:t>Ветераны Великой Отечественной войны.</w:t>
            </w:r>
          </w:p>
        </w:tc>
      </w:tr>
      <w:tr w:rsidR="008762EE">
        <w:tc>
          <w:tcPr>
            <w:tcW w:w="534" w:type="dxa"/>
          </w:tcPr>
          <w:p w:rsidR="008762EE" w:rsidRDefault="008762EE">
            <w:pPr>
              <w:pStyle w:val="ConsPlusNormal"/>
            </w:pPr>
            <w:r>
              <w:t>3.</w:t>
            </w:r>
          </w:p>
        </w:tc>
        <w:tc>
          <w:tcPr>
            <w:tcW w:w="8753" w:type="dxa"/>
          </w:tcPr>
          <w:p w:rsidR="008762EE" w:rsidRDefault="008762EE">
            <w:pPr>
              <w:pStyle w:val="ConsPlusNormal"/>
            </w:pPr>
            <w:r>
              <w:t>Герои Советского Союза, Герои Социалистического Труда, Герои Российской Федерации, Герои Труда Российской Федерации.</w:t>
            </w:r>
          </w:p>
        </w:tc>
      </w:tr>
      <w:tr w:rsidR="008762EE">
        <w:tc>
          <w:tcPr>
            <w:tcW w:w="534" w:type="dxa"/>
          </w:tcPr>
          <w:p w:rsidR="008762EE" w:rsidRDefault="008762EE">
            <w:pPr>
              <w:pStyle w:val="ConsPlusNormal"/>
            </w:pPr>
            <w:r>
              <w:t>4.</w:t>
            </w:r>
          </w:p>
        </w:tc>
        <w:tc>
          <w:tcPr>
            <w:tcW w:w="8753" w:type="dxa"/>
          </w:tcPr>
          <w:p w:rsidR="008762EE" w:rsidRDefault="008762EE">
            <w:pPr>
              <w:pStyle w:val="ConsPlusNormal"/>
            </w:pPr>
            <w:r>
              <w:t>Многодетные семьи, имеющие пять и более детей.</w:t>
            </w:r>
          </w:p>
        </w:tc>
      </w:tr>
      <w:tr w:rsidR="008762EE">
        <w:tc>
          <w:tcPr>
            <w:tcW w:w="534" w:type="dxa"/>
          </w:tcPr>
          <w:p w:rsidR="008762EE" w:rsidRDefault="008762EE">
            <w:pPr>
              <w:pStyle w:val="ConsPlusNormal"/>
            </w:pPr>
            <w:r>
              <w:t>5.</w:t>
            </w:r>
          </w:p>
        </w:tc>
        <w:tc>
          <w:tcPr>
            <w:tcW w:w="8753" w:type="dxa"/>
          </w:tcPr>
          <w:p w:rsidR="008762EE" w:rsidRDefault="008762EE">
            <w:pPr>
              <w:pStyle w:val="ConsPlusNormal"/>
            </w:pPr>
            <w:r>
              <w:t>Беременные одинокие женщины.</w:t>
            </w:r>
          </w:p>
        </w:tc>
      </w:tr>
      <w:tr w:rsidR="008762EE">
        <w:tc>
          <w:tcPr>
            <w:tcW w:w="534" w:type="dxa"/>
          </w:tcPr>
          <w:p w:rsidR="008762EE" w:rsidRDefault="008762EE">
            <w:pPr>
              <w:pStyle w:val="ConsPlusNormal"/>
            </w:pPr>
            <w:r>
              <w:t>6.</w:t>
            </w:r>
          </w:p>
        </w:tc>
        <w:tc>
          <w:tcPr>
            <w:tcW w:w="8753" w:type="dxa"/>
          </w:tcPr>
          <w:p w:rsidR="008762EE" w:rsidRDefault="008762EE">
            <w:pPr>
              <w:pStyle w:val="ConsPlusNormal"/>
            </w:pPr>
            <w:r>
              <w:t>Одинокие родители, имеющие ребенка (детей) в возрасте до 3 лет.</w:t>
            </w:r>
          </w:p>
        </w:tc>
      </w:tr>
    </w:tbl>
    <w:p w:rsidR="008762EE" w:rsidRDefault="008762EE">
      <w:pPr>
        <w:pStyle w:val="ConsPlusNormal"/>
        <w:jc w:val="both"/>
      </w:pPr>
    </w:p>
    <w:p w:rsidR="008762EE" w:rsidRDefault="008762EE">
      <w:pPr>
        <w:pStyle w:val="ConsPlusNormal"/>
        <w:jc w:val="both"/>
      </w:pPr>
    </w:p>
    <w:p w:rsidR="008762EE" w:rsidRDefault="008762EE">
      <w:pPr>
        <w:pStyle w:val="ConsPlusNormal"/>
        <w:pBdr>
          <w:bottom w:val="single" w:sz="6" w:space="0" w:color="auto"/>
        </w:pBdr>
        <w:spacing w:before="100" w:after="100"/>
        <w:jc w:val="both"/>
        <w:rPr>
          <w:sz w:val="2"/>
          <w:szCs w:val="2"/>
        </w:rPr>
      </w:pPr>
    </w:p>
    <w:p w:rsidR="005D0677" w:rsidRDefault="005D0677">
      <w:bookmarkStart w:id="2" w:name="_GoBack"/>
      <w:bookmarkEnd w:id="2"/>
    </w:p>
    <w:sectPr w:rsidR="005D0677" w:rsidSect="008E7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EE"/>
    <w:rsid w:val="005D0677"/>
    <w:rsid w:val="0087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C80D3-038D-491E-A831-682FFB5B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2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62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62E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consultantplus://offline/ref=ADCBE8AC03EC1C4EE01643CF58BC569456AD439EB6DBECB861D383A0112CE920D3C08A87A1D6AC48BF950F440518G3J" TargetMode="Externa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hyperlink" Target="consultantplus://offline/ref=ADCBE8AC03EC1C4EE01643CF58BC569456AC409AB5D6ECB861D383A0112CE920C1C0D28BA1D4B34AB680591543D5B1CD30D40C5F1877D14519G5J" TargetMode="Externa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hyperlink" Target="https://www.consultant.ru" TargetMode="Externa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Неля Адзинова</dc:creator>
  <cp:keywords/>
  <dc:description/>
  <cp:lastModifiedBy>Неля Адзинова</cp:lastModifiedBy>
  <cp:revision>1</cp:revision>
  <dcterms:created xsi:type="dcterms:W3CDTF">2023-11-02T09:06:00Z</dcterms:created>
  <dcterms:modified xsi:type="dcterms:W3CDTF">2023-11-02T09:07:00Z</dcterms:modified>
</cp:coreProperties>
</file>